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101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hint="eastAsia" w:eastAsia="宋体" w:cs="Arial"/>
          <w:b/>
          <w:sz w:val="22"/>
          <w:szCs w:val="22"/>
          <w:highlight w:val="none"/>
          <w:lang w:val="en-US" w:eastAsia="zh-CN"/>
        </w:rPr>
        <w:t>R1-2003492</w:t>
      </w:r>
    </w:p>
    <w:p>
      <w:pPr>
        <w:pStyle w:val="94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May 25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June 5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20</w:t>
      </w:r>
    </w:p>
    <w:p>
      <w:pPr>
        <w:pStyle w:val="94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>
      <w:pPr>
        <w:pStyle w:val="19"/>
        <w:spacing w:after="60" w:line="240" w:lineRule="auto"/>
        <w:ind w:left="1797" w:hanging="1797"/>
        <w:rPr>
          <w:rFonts w:hint="default"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Remaining issues on CLI</w:t>
      </w:r>
    </w:p>
    <w:p>
      <w:pPr>
        <w:pStyle w:val="19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</w:t>
      </w:r>
    </w:p>
    <w:p>
      <w:pPr>
        <w:pStyle w:val="19"/>
        <w:tabs>
          <w:tab w:val="left" w:pos="1800"/>
        </w:tabs>
        <w:spacing w:after="60" w:line="240" w:lineRule="auto"/>
        <w:jc w:val="both"/>
        <w:rPr>
          <w:rFonts w:hint="default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7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12</w:t>
      </w:r>
    </w:p>
    <w:p>
      <w:pPr>
        <w:pStyle w:val="1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Discussion and Decision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eastAsia="zh-CN"/>
        </w:rPr>
      </w:pPr>
      <w:r>
        <w:rPr>
          <w:rFonts w:ascii="Times New Roman" w:hAnsi="Times New Roman" w:eastAsia="宋体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32"/>
          <w:szCs w:val="32"/>
          <w:lang w:eastAsia="zh-CN"/>
        </w:rPr>
        <w:t>Introduction</w:t>
      </w:r>
    </w:p>
    <w:p>
      <w:pPr>
        <w:snapToGrid w:val="0"/>
        <w:spacing w:before="120" w:beforeLines="50" w:after="120" w:afterLines="50" w:line="240" w:lineRule="auto"/>
        <w:jc w:val="both"/>
        <w:rPr>
          <w:rStyle w:val="29"/>
          <w:rFonts w:hint="default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</w:pPr>
      <w:bookmarkStart w:id="1" w:name="OLE_LINK1"/>
      <w:bookmarkStart w:id="2" w:name="OLE_LINK16"/>
      <w:bookmarkStart w:id="3" w:name="OLE_LINK2"/>
      <w:bookmarkStart w:id="4" w:name="OLE_LINK15"/>
      <w:r>
        <w:rPr>
          <w:rFonts w:hint="eastAsia" w:eastAsia="宋体"/>
          <w:lang w:val="en-US" w:eastAsia="zh-CN"/>
        </w:rPr>
        <w:t>In the RAN1 #100bis e-meeting, some remaining issues related to CLI measurement and reporting were further discussed in the topic of UE features for CLI/RIM, and then some agreements were reached[1].</w:t>
      </w:r>
      <w:r>
        <w:rPr>
          <w:rStyle w:val="29"/>
          <w:rFonts w:hint="eastAsia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  <w:t xml:space="preserve"> In this contribution,</w:t>
      </w:r>
      <w:r>
        <w:rPr>
          <w:rStyle w:val="29"/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 xml:space="preserve"> </w:t>
      </w:r>
      <w:r>
        <w:rPr>
          <w:rStyle w:val="29"/>
          <w:rFonts w:hint="eastAsia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  <w:t xml:space="preserve">we provide our views on </w:t>
      </w:r>
      <w:r>
        <w:rPr>
          <w:rStyle w:val="29"/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 xml:space="preserve">whether these agreements affect physical layer specifications and how to </w:t>
      </w:r>
      <w:r>
        <w:rPr>
          <w:rStyle w:val="29"/>
          <w:rFonts w:hint="eastAsia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  <w:t>captur</w:t>
      </w:r>
      <w:r>
        <w:rPr>
          <w:rStyle w:val="29"/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>e</w:t>
      </w:r>
      <w:r>
        <w:rPr>
          <w:rStyle w:val="29"/>
          <w:rFonts w:hint="eastAsia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  <w:t xml:space="preserve"> </w:t>
      </w:r>
      <w:r>
        <w:rPr>
          <w:rStyle w:val="29"/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 xml:space="preserve">these agreement(s) for CLI measurement into specifications </w:t>
      </w:r>
      <w:r>
        <w:rPr>
          <w:rStyle w:val="29"/>
          <w:rFonts w:hint="eastAsia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  <w:t>.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Discussion</w:t>
      </w:r>
    </w:p>
    <w:p>
      <w:pPr>
        <w:pStyle w:val="3"/>
        <w:numPr>
          <w:ilvl w:val="1"/>
          <w:numId w:val="0"/>
        </w:numPr>
        <w:snapToGrid w:val="0"/>
        <w:spacing w:after="200" w:line="260" w:lineRule="auto"/>
        <w:rPr>
          <w:rFonts w:hint="eastAsia" w:eastAsia="宋体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ab/>
      </w:r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>TP for SRS-RSRP measurement in 38.214</w:t>
      </w:r>
    </w:p>
    <w:p>
      <w:pPr>
        <w:snapToGrid w:val="0"/>
        <w:spacing w:before="120" w:beforeLines="50" w:after="120" w:afterLines="50" w:line="240" w:lineRule="auto"/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the RAN1 #100bis e-meeting, the agreements reached in the topic of UE featu</w:t>
      </w:r>
      <w:bookmarkStart w:id="14" w:name="_GoBack"/>
      <w:bookmarkEnd w:id="14"/>
      <w:r>
        <w:rPr>
          <w:rFonts w:hint="eastAsia" w:eastAsia="宋体"/>
          <w:lang w:val="en-US" w:eastAsia="zh-CN"/>
        </w:rPr>
        <w:t>res for CLI/RIM are as follows.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60" w:line="260" w:lineRule="auto"/>
        <w:textAlignment w:val="auto"/>
        <w:outlineLvl w:val="9"/>
        <w:rPr>
          <w:rFonts w:ascii="Times New Roman" w:hAnsi="Times New Roman" w:eastAsia="MS Gothic"/>
          <w:sz w:val="20"/>
          <w:szCs w:val="20"/>
          <w:highlight w:val="green"/>
          <w:lang w:val="en-US" w:eastAsia="zh-CN"/>
        </w:rPr>
      </w:pPr>
      <w:bookmarkStart w:id="5" w:name="_Hlk38726939"/>
      <w:r>
        <w:rPr>
          <w:sz w:val="20"/>
          <w:szCs w:val="20"/>
          <w:highlight w:val="green"/>
        </w:rPr>
        <w:t>Agreements:</w:t>
      </w:r>
    </w:p>
    <w:p>
      <w:pPr>
        <w:pStyle w:val="125"/>
        <w:numPr>
          <w:ilvl w:val="0"/>
          <w:numId w:val="10"/>
        </w:numPr>
        <w:spacing w:after="120" w:afterLines="50" w:line="254" w:lineRule="auto"/>
        <w:ind w:leftChars="0"/>
        <w:jc w:val="both"/>
        <w:rPr>
          <w:rFonts w:ascii="Times New Roman" w:hAnsi="Times New Roman" w:eastAsia="MS Mincho"/>
          <w:sz w:val="20"/>
          <w:szCs w:val="20"/>
          <w:lang w:val="en-US"/>
        </w:rPr>
      </w:pPr>
      <w:r>
        <w:rPr>
          <w:sz w:val="20"/>
          <w:szCs w:val="20"/>
        </w:rPr>
        <w:t>FG17-1 is kept for support of CLI-RSSI measurement.</w:t>
      </w:r>
    </w:p>
    <w:p>
      <w:pPr>
        <w:pStyle w:val="125"/>
        <w:numPr>
          <w:ilvl w:val="0"/>
          <w:numId w:val="0"/>
        </w:numPr>
        <w:spacing w:after="120" w:afterLines="50" w:line="254" w:lineRule="auto"/>
        <w:ind w:left="360" w:leftChars="0"/>
        <w:jc w:val="both"/>
        <w:rPr>
          <w:rFonts w:hint="default"/>
          <w:sz w:val="20"/>
          <w:szCs w:val="20"/>
          <w:lang w:val="en-US"/>
        </w:rPr>
      </w:pPr>
      <w:r>
        <w:rPr>
          <w:rFonts w:hint="eastAsia" w:eastAsia="宋体"/>
          <w:sz w:val="20"/>
          <w:szCs w:val="20"/>
          <w:lang w:val="en-US" w:eastAsia="zh-CN"/>
        </w:rPr>
        <w:t>...</w:t>
      </w:r>
    </w:p>
    <w:p>
      <w:pPr>
        <w:pStyle w:val="125"/>
        <w:numPr>
          <w:ilvl w:val="0"/>
          <w:numId w:val="11"/>
        </w:numPr>
        <w:ind w:leftChars="0"/>
        <w:rPr>
          <w:rFonts w:eastAsia="MS Gothic"/>
          <w:sz w:val="20"/>
          <w:szCs w:val="20"/>
          <w:lang w:val="en-US"/>
        </w:rPr>
      </w:pPr>
      <w:r>
        <w:rPr>
          <w:sz w:val="20"/>
          <w:szCs w:val="20"/>
        </w:rPr>
        <w:t xml:space="preserve">FG17-2 is kept for support of SRS-RSRP measurement. </w:t>
      </w:r>
    </w:p>
    <w:p>
      <w:pPr>
        <w:pStyle w:val="125"/>
        <w:numPr>
          <w:ilvl w:val="0"/>
          <w:numId w:val="11"/>
        </w:numPr>
        <w:ind w:leftChars="0"/>
        <w:rPr>
          <w:rFonts w:eastAsia="MS Gothic"/>
          <w:sz w:val="20"/>
          <w:szCs w:val="20"/>
          <w:lang w:val="en-US"/>
        </w:rPr>
      </w:pPr>
      <w:r>
        <w:rPr>
          <w:sz w:val="20"/>
          <w:szCs w:val="20"/>
        </w:rPr>
        <w:t xml:space="preserve">FG17-2 includes component “maximum number of measurement resources configured for SRS-RSRP measurement” and “maximum number of measurement resources configured for SRS-RSRP measurement within a slot”. </w:t>
      </w:r>
    </w:p>
    <w:p>
      <w:pPr>
        <w:pStyle w:val="125"/>
        <w:numPr>
          <w:ilvl w:val="0"/>
          <w:numId w:val="11"/>
        </w:numPr>
        <w:spacing w:after="120" w:afterLines="50" w:line="254" w:lineRule="auto"/>
        <w:ind w:leftChars="0"/>
        <w:jc w:val="both"/>
        <w:rPr>
          <w:rFonts w:eastAsia="MS Gothic"/>
          <w:sz w:val="20"/>
          <w:szCs w:val="20"/>
        </w:rPr>
      </w:pPr>
      <w:r>
        <w:rPr>
          <w:sz w:val="20"/>
          <w:szCs w:val="20"/>
        </w:rPr>
        <w:t>Candidate values for FG17-2 component “maximum number of measurement resources configured for SRS-RSRP measurement” are {4, 8, 16, 32}.</w:t>
      </w:r>
    </w:p>
    <w:p>
      <w:pPr>
        <w:pStyle w:val="125"/>
        <w:numPr>
          <w:ilvl w:val="0"/>
          <w:numId w:val="11"/>
        </w:numPr>
        <w:spacing w:after="120" w:afterLines="50" w:line="254" w:lineRule="auto"/>
        <w:ind w:leftChars="0"/>
        <w:jc w:val="both"/>
        <w:rPr>
          <w:sz w:val="20"/>
          <w:szCs w:val="20"/>
        </w:rPr>
      </w:pPr>
      <w:r>
        <w:rPr>
          <w:sz w:val="20"/>
          <w:szCs w:val="20"/>
        </w:rPr>
        <w:t>Candidate values for FG17-2 component “maximum number of measurement resources configured for SRS-RSRP measurement within a slot” are {2, 4, 8}.</w:t>
      </w:r>
    </w:p>
    <w:p>
      <w:pPr>
        <w:pStyle w:val="125"/>
        <w:numPr>
          <w:ilvl w:val="0"/>
          <w:numId w:val="11"/>
        </w:numPr>
        <w:spacing w:after="120" w:afterLines="50" w:line="254" w:lineRule="auto"/>
        <w:ind w:leftChars="0"/>
        <w:jc w:val="both"/>
        <w:rPr>
          <w:sz w:val="20"/>
          <w:szCs w:val="20"/>
          <w:lang w:val="en-US"/>
        </w:rPr>
      </w:pPr>
      <w:r>
        <w:rPr>
          <w:sz w:val="20"/>
          <w:szCs w:val="20"/>
        </w:rPr>
        <w:t>FG-17-2 is reported per UE with FR1/FR2 differentiation.</w:t>
      </w:r>
    </w:p>
    <w:p>
      <w:pPr>
        <w:pStyle w:val="125"/>
        <w:numPr>
          <w:ilvl w:val="0"/>
          <w:numId w:val="11"/>
        </w:numPr>
        <w:spacing w:after="120" w:afterLines="50" w:line="254" w:lineRule="auto"/>
        <w:ind w:leftChars="0"/>
        <w:jc w:val="both"/>
        <w:rPr>
          <w:rFonts w:eastAsia="MS Gothic"/>
          <w:sz w:val="20"/>
          <w:szCs w:val="20"/>
          <w:lang w:val="en-US"/>
        </w:rPr>
      </w:pPr>
      <w:r>
        <w:rPr>
          <w:sz w:val="20"/>
          <w:szCs w:val="20"/>
        </w:rPr>
        <w:t>A joint limit for CLI SRS, SSB and CSI-RS for RSRP measurement in a slot is not defined in Rel-16.</w:t>
      </w:r>
    </w:p>
    <w:p>
      <w:pPr>
        <w:pStyle w:val="125"/>
        <w:numPr>
          <w:ilvl w:val="0"/>
          <w:numId w:val="11"/>
        </w:numPr>
        <w:spacing w:after="120" w:afterLines="50" w:line="254" w:lineRule="auto"/>
        <w:ind w:leftChars="0"/>
        <w:jc w:val="both"/>
        <w:rPr>
          <w:rFonts w:eastAsia="MS Gothic"/>
          <w:sz w:val="20"/>
          <w:szCs w:val="20"/>
          <w:highlight w:val="yellow"/>
          <w:lang w:val="en-US"/>
        </w:rPr>
      </w:pPr>
      <w:r>
        <w:rPr>
          <w:sz w:val="20"/>
          <w:szCs w:val="20"/>
          <w:highlight w:val="yellow"/>
        </w:rPr>
        <w:t>A multi-port SRS-RSRP measurement is not supported in Rel-16.</w:t>
      </w:r>
    </w:p>
    <w:bookmarkEnd w:id="5"/>
    <w:p>
      <w:pPr>
        <w:snapToGrid w:val="0"/>
        <w:spacing w:before="120" w:beforeLines="50" w:after="120" w:afterLines="50" w:line="240" w:lineRule="auto"/>
        <w:jc w:val="both"/>
        <w:rPr>
          <w:rStyle w:val="29"/>
          <w:rFonts w:hint="default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Wherein, the agreements of two new components and the corresponding candidate values in FG17-2 for SRS-RSRP measurement belong to UE feature, which do not need to be reflected in physical layer specifications. However, in our opinion, the agreement of </w:t>
      </w:r>
      <w:r>
        <w:rPr>
          <w:rFonts w:hint="default" w:eastAsia="宋体"/>
          <w:highlight w:val="none"/>
          <w:lang w:val="en-US" w:eastAsia="zh-CN"/>
        </w:rPr>
        <w:t>“</w:t>
      </w:r>
      <w:r>
        <w:rPr>
          <w:sz w:val="20"/>
          <w:szCs w:val="20"/>
          <w:highlight w:val="none"/>
        </w:rPr>
        <w:t>A multi-port SRS-RSRP measurement is not supported in Rel-16</w:t>
      </w:r>
      <w:r>
        <w:rPr>
          <w:rFonts w:hint="default" w:eastAsia="宋体"/>
          <w:highlight w:val="none"/>
          <w:lang w:val="en-US" w:eastAsia="zh-CN"/>
        </w:rPr>
        <w:t>”</w:t>
      </w:r>
      <w:r>
        <w:rPr>
          <w:rFonts w:hint="eastAsia" w:eastAsia="宋体"/>
          <w:highlight w:val="none"/>
          <w:lang w:val="en-US" w:eastAsia="zh-CN"/>
        </w:rPr>
        <w:t xml:space="preserve"> should</w:t>
      </w:r>
      <w:r>
        <w:rPr>
          <w:rFonts w:hint="eastAsia" w:eastAsia="宋体"/>
          <w:lang w:val="en-US" w:eastAsia="zh-CN"/>
        </w:rPr>
        <w:t xml:space="preserve"> be captured in 38.214.</w:t>
      </w:r>
      <w:r>
        <w:rPr>
          <w:rStyle w:val="29"/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 xml:space="preserve"> The following TP in TS 38.214 are proposed to capture above agreement on ports of SRS resource.</w:t>
      </w:r>
    </w:p>
    <w:p>
      <w:pPr>
        <w:snapToGrid w:val="0"/>
        <w:spacing w:before="120" w:beforeLines="50" w:after="120" w:afterLines="50" w:line="240" w:lineRule="auto"/>
        <w:jc w:val="both"/>
        <w:rPr>
          <w:rStyle w:val="29"/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Style w:val="29"/>
          <w:rFonts w:hint="eastAsia" w:eastAsia="宋体" w:cs="Times New Roman"/>
          <w:b/>
          <w:bCs/>
          <w:sz w:val="20"/>
          <w:szCs w:val="20"/>
          <w:lang w:val="en-US" w:eastAsia="zh-CN"/>
        </w:rPr>
        <w:t>Proposal 1: Adopt the following text proposal.</w:t>
      </w:r>
    </w:p>
    <w:p>
      <w:pPr>
        <w:snapToGrid w:val="0"/>
        <w:spacing w:before="120" w:beforeLines="50" w:after="120" w:afterLines="50" w:line="240" w:lineRule="auto"/>
        <w:jc w:val="both"/>
        <w:rPr>
          <w:rFonts w:hint="default" w:eastAsia="宋体"/>
          <w:color w:val="C00000"/>
          <w:lang w:val="en-US" w:eastAsia="zh-CN"/>
        </w:rPr>
      </w:pPr>
      <w:r>
        <w:rPr>
          <w:rFonts w:hint="eastAsia" w:eastAsia="宋体"/>
          <w:color w:val="C00000"/>
          <w:lang w:val="en-US" w:eastAsia="zh-CN"/>
        </w:rPr>
        <w:t xml:space="preserve">------------------------------- </w:t>
      </w:r>
      <w:r>
        <w:rPr>
          <w:rFonts w:hint="eastAsia"/>
          <w:color w:val="C00000"/>
        </w:rPr>
        <w:t>&lt; Start of text proposal for</w:t>
      </w:r>
      <w:r>
        <w:rPr>
          <w:rFonts w:hint="eastAsia" w:eastAsia="宋体"/>
          <w:color w:val="C00000"/>
          <w:lang w:val="en-US" w:eastAsia="zh-CN"/>
        </w:rPr>
        <w:t xml:space="preserve"> Clause 5.1.6.4</w:t>
      </w:r>
      <w:r>
        <w:rPr>
          <w:rFonts w:hint="eastAsia"/>
          <w:color w:val="C00000"/>
        </w:rPr>
        <w:t xml:space="preserve"> </w:t>
      </w:r>
      <w:r>
        <w:rPr>
          <w:rFonts w:hint="eastAsia" w:eastAsia="宋体"/>
          <w:color w:val="C00000"/>
          <w:lang w:val="en-US" w:eastAsia="zh-CN"/>
        </w:rPr>
        <w:t xml:space="preserve">of </w:t>
      </w:r>
      <w:r>
        <w:rPr>
          <w:rFonts w:hint="eastAsia"/>
          <w:color w:val="C00000"/>
        </w:rPr>
        <w:t>38.21</w:t>
      </w:r>
      <w:r>
        <w:rPr>
          <w:rFonts w:hint="eastAsia" w:eastAsia="宋体"/>
          <w:color w:val="C00000"/>
          <w:lang w:val="en-US" w:eastAsia="zh-CN"/>
        </w:rPr>
        <w:t>4</w:t>
      </w:r>
      <w:r>
        <w:rPr>
          <w:rFonts w:hint="eastAsia"/>
          <w:color w:val="C00000"/>
        </w:rPr>
        <w:t>&gt;</w:t>
      </w:r>
      <w:r>
        <w:rPr>
          <w:rFonts w:hint="eastAsia" w:eastAsia="宋体"/>
          <w:color w:val="C00000"/>
          <w:lang w:val="en-US" w:eastAsia="zh-CN"/>
        </w:rPr>
        <w:t xml:space="preserve"> ------------------------------------</w:t>
      </w:r>
    </w:p>
    <w:p>
      <w:pPr>
        <w:keepNext/>
        <w:keepLines/>
        <w:pageBreakBefore w:val="0"/>
        <w:widowControl/>
        <w:tabs>
          <w:tab w:val="left" w:pos="4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1417" w:hanging="1417"/>
        <w:textAlignment w:val="auto"/>
        <w:outlineLvl w:val="9"/>
        <w:rPr>
          <w:color w:val="000000"/>
          <w:sz w:val="22"/>
          <w:szCs w:val="22"/>
        </w:rPr>
      </w:pPr>
      <w:bookmarkStart w:id="6" w:name="_Toc29673157"/>
      <w:bookmarkStart w:id="7" w:name="_Toc29673298"/>
      <w:bookmarkStart w:id="8" w:name="_Toc29674291"/>
      <w:r>
        <w:rPr>
          <w:color w:val="000000"/>
          <w:sz w:val="22"/>
          <w:szCs w:val="22"/>
        </w:rPr>
        <w:t>5.1.6.4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>SRS reception procedure for CLI</w:t>
      </w:r>
      <w:bookmarkEnd w:id="6"/>
      <w:bookmarkEnd w:id="7"/>
      <w:bookmarkEnd w:id="8"/>
    </w:p>
    <w:p>
      <w:pPr>
        <w:rPr>
          <w:rFonts w:hint="default" w:eastAsia="宋体"/>
          <w:lang w:val="en-US" w:eastAsia="zh-CN"/>
        </w:rPr>
      </w:pPr>
      <w:r>
        <w:t xml:space="preserve">The SRS resources defined in Clause 6.4.1.4 of [4, TS 38.211] may be configured for SRS-RSRP measurement for CLI, as defined in Clause 5.1.19 of [7, TS 38.215]. The UE is not expected to measure SRS-RSRP with a subcarrier spacing other than the one configured for the active BWP confining the </w:t>
      </w:r>
      <w:r>
        <w:rPr>
          <w:color w:val="auto"/>
        </w:rPr>
        <w:t>SRS resour</w:t>
      </w:r>
      <w:r>
        <w:rPr>
          <w:color w:val="auto"/>
          <w:highlight w:val="none"/>
        </w:rPr>
        <w:t xml:space="preserve">ce. </w:t>
      </w:r>
      <w:r>
        <w:rPr>
          <w:rFonts w:hint="eastAsia" w:eastAsia="宋体"/>
          <w:color w:val="auto"/>
          <w:highlight w:val="none"/>
          <w:lang w:val="en-US" w:eastAsia="zh-CN"/>
        </w:rPr>
        <w:t xml:space="preserve">The UE is not expected to measure SRS-RSRP using the SRS-RSRP measurement resource which is not fully confined within BW of DL active BWP. </w:t>
      </w:r>
      <w:r>
        <w:rPr>
          <w:highlight w:val="none"/>
        </w:rPr>
        <w:t>The UE is not expected to measure more than 32 SRS reso</w:t>
      </w:r>
      <w:r>
        <w:t>urces, and the UE is not expected to receive more than 8 SRS resources in a slot.</w:t>
      </w:r>
      <w:r>
        <w:rPr>
          <w:rFonts w:hint="eastAsia" w:eastAsia="宋体"/>
          <w:color w:val="FF0000"/>
          <w:lang w:val="en-US" w:eastAsia="zh-CN"/>
        </w:rPr>
        <w:t xml:space="preserve"> The UE is not expected the number of antenna </w:t>
      </w:r>
      <w:r>
        <w:rPr>
          <w:color w:val="FF0000"/>
        </w:rPr>
        <w:t xml:space="preserve">ports per SRS resource for </w:t>
      </w:r>
      <w:r>
        <w:rPr>
          <w:rFonts w:hint="eastAsia" w:eastAsia="宋体"/>
          <w:color w:val="FF0000"/>
          <w:lang w:val="en-US" w:eastAsia="zh-CN"/>
        </w:rPr>
        <w:t xml:space="preserve">SRS-RSRP </w:t>
      </w:r>
      <w:r>
        <w:rPr>
          <w:color w:val="FF0000"/>
        </w:rPr>
        <w:t>measurement</w:t>
      </w:r>
      <w:r>
        <w:rPr>
          <w:rFonts w:hint="eastAsia" w:eastAsia="宋体"/>
          <w:color w:val="FF0000"/>
          <w:lang w:val="en-US" w:eastAsia="zh-CN"/>
        </w:rPr>
        <w:t xml:space="preserve"> is larger than one. </w:t>
      </w:r>
    </w:p>
    <w:p>
      <w:pPr>
        <w:snapToGrid w:val="0"/>
        <w:spacing w:before="120" w:beforeLines="50" w:after="120" w:afterLines="50" w:line="240" w:lineRule="auto"/>
        <w:jc w:val="both"/>
        <w:rPr>
          <w:rFonts w:hint="eastAsia" w:eastAsia="宋体"/>
          <w:color w:val="C00000"/>
          <w:lang w:val="en-US" w:eastAsia="zh-CN"/>
        </w:rPr>
      </w:pPr>
      <w:r>
        <w:rPr>
          <w:rFonts w:hint="eastAsia" w:eastAsia="宋体"/>
          <w:color w:val="C00000"/>
          <w:lang w:val="en-US" w:eastAsia="zh-CN"/>
        </w:rPr>
        <w:t xml:space="preserve">-------------------------------------------------- </w:t>
      </w:r>
      <w:r>
        <w:rPr>
          <w:rFonts w:hint="eastAsia"/>
          <w:color w:val="C00000"/>
        </w:rPr>
        <w:t>&lt; End of text proposal&gt;</w:t>
      </w:r>
      <w:r>
        <w:rPr>
          <w:rFonts w:hint="eastAsia" w:eastAsia="宋体"/>
          <w:color w:val="C00000"/>
          <w:lang w:val="en-US" w:eastAsia="zh-CN"/>
        </w:rPr>
        <w:t xml:space="preserve"> -----------------------------------------------------</w:t>
      </w:r>
    </w:p>
    <w:p>
      <w:pPr>
        <w:snapToGrid w:val="0"/>
        <w:spacing w:before="120" w:beforeLines="50" w:after="120" w:afterLines="50" w:line="240" w:lineRule="auto"/>
        <w:jc w:val="both"/>
        <w:rPr>
          <w:rFonts w:hint="default" w:eastAsia="宋体"/>
          <w:color w:val="C00000"/>
          <w:lang w:val="en-US" w:eastAsia="zh-CN"/>
        </w:rPr>
      </w:pP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Conclusion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contribution, we provide one TP for CLI measurement and reporting.</w:t>
      </w:r>
    </w:p>
    <w:p>
      <w:pPr>
        <w:snapToGrid w:val="0"/>
        <w:spacing w:before="120" w:beforeLines="50" w:after="120" w:afterLines="50" w:line="240" w:lineRule="auto"/>
        <w:jc w:val="both"/>
        <w:rPr>
          <w:rFonts w:hint="eastAsia"/>
          <w:lang w:val="en-US" w:eastAsia="zh-CN"/>
        </w:rPr>
      </w:pPr>
      <w:r>
        <w:rPr>
          <w:rStyle w:val="29"/>
          <w:rFonts w:hint="eastAsia" w:eastAsia="宋体" w:cs="Times New Roman"/>
          <w:b/>
          <w:bCs/>
          <w:sz w:val="20"/>
          <w:szCs w:val="20"/>
          <w:lang w:val="en-US" w:eastAsia="zh-CN"/>
        </w:rPr>
        <w:t>Proposal 1: Adopt the following text proposal.</w:t>
      </w:r>
    </w:p>
    <w:bookmarkEnd w:id="1"/>
    <w:bookmarkEnd w:id="2"/>
    <w:bookmarkEnd w:id="3"/>
    <w:bookmarkEnd w:id="4"/>
    <w:p>
      <w:pPr>
        <w:snapToGrid w:val="0"/>
        <w:spacing w:before="120" w:beforeLines="50" w:after="120" w:afterLines="50" w:line="240" w:lineRule="auto"/>
        <w:jc w:val="both"/>
        <w:rPr>
          <w:rFonts w:hint="default" w:eastAsia="宋体"/>
          <w:color w:val="C00000"/>
          <w:lang w:val="en-US" w:eastAsia="zh-CN"/>
        </w:rPr>
      </w:pPr>
      <w:bookmarkStart w:id="9" w:name="IDX-CHP-8-0995"/>
      <w:bookmarkEnd w:id="9"/>
      <w:bookmarkStart w:id="10" w:name="IDX-CHP-8-0996"/>
      <w:bookmarkEnd w:id="10"/>
      <w:bookmarkStart w:id="11" w:name="IDX-CHP-8-0994"/>
      <w:bookmarkEnd w:id="11"/>
      <w:bookmarkStart w:id="12" w:name="IDX-CHP-8-0992"/>
      <w:bookmarkEnd w:id="12"/>
      <w:bookmarkStart w:id="13" w:name="IDX-CHP-8-0993"/>
      <w:bookmarkEnd w:id="13"/>
      <w:r>
        <w:rPr>
          <w:rFonts w:hint="eastAsia" w:eastAsia="宋体"/>
          <w:color w:val="C00000"/>
          <w:lang w:val="en-US" w:eastAsia="zh-CN"/>
        </w:rPr>
        <w:t xml:space="preserve">------------------------------- </w:t>
      </w:r>
      <w:r>
        <w:rPr>
          <w:rFonts w:hint="eastAsia"/>
          <w:color w:val="C00000"/>
        </w:rPr>
        <w:t>&lt; Start of text proposal</w:t>
      </w:r>
      <w:r>
        <w:rPr>
          <w:rFonts w:hint="eastAsia" w:eastAsia="宋体"/>
          <w:color w:val="C00000"/>
          <w:lang w:val="en-US" w:eastAsia="zh-CN"/>
        </w:rPr>
        <w:t xml:space="preserve"> </w:t>
      </w:r>
      <w:r>
        <w:rPr>
          <w:rFonts w:hint="eastAsia"/>
          <w:color w:val="C00000"/>
        </w:rPr>
        <w:t>for</w:t>
      </w:r>
      <w:r>
        <w:rPr>
          <w:rFonts w:hint="eastAsia" w:eastAsia="宋体"/>
          <w:color w:val="C00000"/>
          <w:lang w:val="en-US" w:eastAsia="zh-CN"/>
        </w:rPr>
        <w:t xml:space="preserve"> Clause 5.1.6.4</w:t>
      </w:r>
      <w:r>
        <w:rPr>
          <w:rFonts w:hint="eastAsia"/>
          <w:color w:val="C00000"/>
        </w:rPr>
        <w:t xml:space="preserve"> </w:t>
      </w:r>
      <w:r>
        <w:rPr>
          <w:rFonts w:hint="eastAsia" w:eastAsia="宋体"/>
          <w:color w:val="C00000"/>
          <w:lang w:val="en-US" w:eastAsia="zh-CN"/>
        </w:rPr>
        <w:t xml:space="preserve">of </w:t>
      </w:r>
      <w:r>
        <w:rPr>
          <w:rFonts w:hint="eastAsia"/>
          <w:color w:val="C00000"/>
        </w:rPr>
        <w:t>38.21</w:t>
      </w:r>
      <w:r>
        <w:rPr>
          <w:rFonts w:hint="eastAsia" w:eastAsia="宋体"/>
          <w:color w:val="C00000"/>
          <w:lang w:val="en-US" w:eastAsia="zh-CN"/>
        </w:rPr>
        <w:t xml:space="preserve">4 </w:t>
      </w:r>
      <w:r>
        <w:rPr>
          <w:rFonts w:hint="eastAsia"/>
          <w:color w:val="C00000"/>
        </w:rPr>
        <w:t>&gt;</w:t>
      </w:r>
      <w:r>
        <w:rPr>
          <w:rFonts w:hint="eastAsia" w:eastAsia="宋体"/>
          <w:color w:val="C00000"/>
          <w:lang w:val="en-US" w:eastAsia="zh-CN"/>
        </w:rPr>
        <w:t xml:space="preserve"> ------------------------------------</w:t>
      </w:r>
    </w:p>
    <w:p>
      <w:pPr>
        <w:keepNext/>
        <w:keepLines/>
        <w:pageBreakBefore w:val="0"/>
        <w:widowControl/>
        <w:tabs>
          <w:tab w:val="left" w:pos="4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1417" w:hanging="1417"/>
        <w:textAlignment w:val="auto"/>
        <w:outlineLvl w:val="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5.1.6.4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>SRS reception procedure for CLI</w:t>
      </w:r>
    </w:p>
    <w:p>
      <w:pPr>
        <w:rPr>
          <w:rFonts w:hint="default" w:eastAsia="宋体"/>
          <w:lang w:val="en-US" w:eastAsia="zh-CN"/>
        </w:rPr>
      </w:pPr>
      <w:r>
        <w:t xml:space="preserve">The SRS resources defined in Clause 6.4.1.4 of [4, TS 38.211] may be configured for SRS-RSRP measurement for CLI, as defined in Clause 5.1.19 of [7, TS 38.215]. The UE is not expected to measure SRS-RSRP with a subcarrier spacing other than the one configured for the active BWP confining the </w:t>
      </w:r>
      <w:r>
        <w:rPr>
          <w:color w:val="auto"/>
        </w:rPr>
        <w:t xml:space="preserve">SRS resource. </w:t>
      </w:r>
      <w:r>
        <w:rPr>
          <w:rFonts w:hint="eastAsia" w:eastAsia="宋体"/>
          <w:color w:val="auto"/>
          <w:lang w:val="en-US" w:eastAsia="zh-CN"/>
        </w:rPr>
        <w:t xml:space="preserve">The UE is not expected to measure SRS-RSRP using the SRS-RSRP measurement resource which is not fully confined within BW of DL active BWP. </w:t>
      </w:r>
      <w:r>
        <w:t>The UE is not expected to measure more than 32 SRS resources, and the UE is not expected to receive more than 8 SRS resources in a slot.</w:t>
      </w:r>
      <w:r>
        <w:rPr>
          <w:rFonts w:hint="eastAsia" w:eastAsia="宋体"/>
          <w:color w:val="FF0000"/>
          <w:lang w:val="en-US" w:eastAsia="zh-CN"/>
        </w:rPr>
        <w:t xml:space="preserve"> The UE is not expected the number of antenna </w:t>
      </w:r>
      <w:r>
        <w:rPr>
          <w:color w:val="FF0000"/>
        </w:rPr>
        <w:t xml:space="preserve">ports per SRS resource for </w:t>
      </w:r>
      <w:r>
        <w:rPr>
          <w:rFonts w:hint="eastAsia" w:eastAsia="宋体"/>
          <w:color w:val="FF0000"/>
          <w:lang w:val="en-US" w:eastAsia="zh-CN"/>
        </w:rPr>
        <w:t xml:space="preserve">SRS-RSRP </w:t>
      </w:r>
      <w:r>
        <w:rPr>
          <w:color w:val="FF0000"/>
        </w:rPr>
        <w:t>measurement</w:t>
      </w:r>
      <w:r>
        <w:rPr>
          <w:rFonts w:hint="eastAsia" w:eastAsia="宋体"/>
          <w:color w:val="FF0000"/>
          <w:lang w:val="en-US" w:eastAsia="zh-CN"/>
        </w:rPr>
        <w:t xml:space="preserve"> is larger than one.</w:t>
      </w:r>
    </w:p>
    <w:p>
      <w:pPr>
        <w:snapToGrid w:val="0"/>
        <w:spacing w:before="120" w:beforeLines="50" w:after="120" w:afterLines="50" w:line="240" w:lineRule="auto"/>
        <w:jc w:val="both"/>
        <w:rPr>
          <w:rFonts w:hint="eastAsia" w:eastAsia="宋体"/>
          <w:color w:val="C00000"/>
          <w:lang w:val="en-US" w:eastAsia="zh-CN"/>
        </w:rPr>
      </w:pPr>
      <w:r>
        <w:rPr>
          <w:rFonts w:hint="eastAsia" w:eastAsia="宋体"/>
          <w:color w:val="C00000"/>
          <w:lang w:val="en-US" w:eastAsia="zh-CN"/>
        </w:rPr>
        <w:t xml:space="preserve">-------------------------------------------------- </w:t>
      </w:r>
      <w:r>
        <w:rPr>
          <w:rFonts w:hint="eastAsia"/>
          <w:color w:val="C00000"/>
        </w:rPr>
        <w:t>&lt; End of text proposal&gt;</w:t>
      </w:r>
      <w:r>
        <w:rPr>
          <w:rFonts w:hint="eastAsia" w:eastAsia="宋体"/>
          <w:color w:val="C00000"/>
          <w:lang w:val="en-US" w:eastAsia="zh-CN"/>
        </w:rPr>
        <w:t xml:space="preserve"> -----------------------------------------------------</w:t>
      </w:r>
    </w:p>
    <w:p>
      <w:pPr>
        <w:snapToGrid w:val="0"/>
        <w:spacing w:before="120" w:beforeLines="50" w:after="120" w:afterLines="50" w:line="240" w:lineRule="auto"/>
        <w:jc w:val="both"/>
        <w:rPr>
          <w:rFonts w:hint="eastAsia" w:eastAsia="宋体"/>
          <w:color w:val="C00000"/>
          <w:lang w:val="en-US" w:eastAsia="zh-CN"/>
        </w:rPr>
      </w:pP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Reference</w:t>
      </w:r>
    </w:p>
    <w:bookmarkEnd w:id="0"/>
    <w:p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sz w:val="21"/>
          <w:szCs w:val="22"/>
          <w:highlight w:val="none"/>
          <w:lang w:val="en-US" w:eastAsia="zh-CN"/>
        </w:rPr>
        <w:t>Draft Report of 3GPP TSG RAN WG1 #100bis-e v0.1.0</w:t>
      </w:r>
    </w:p>
    <w:sectPr>
      <w:footerReference r:id="rId3" w:type="default"/>
      <w:footerReference r:id="rId4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1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430B"/>
    <w:multiLevelType w:val="multilevel"/>
    <w:tmpl w:val="0367430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 w:tentative="0">
      <w:start w:val="1"/>
      <w:numFmt w:val="decimal"/>
      <w:pStyle w:val="117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3">
    <w:nsid w:val="228513F0"/>
    <w:multiLevelType w:val="multilevel"/>
    <w:tmpl w:val="228513F0"/>
    <w:lvl w:ilvl="0" w:tentative="0">
      <w:start w:val="1"/>
      <w:numFmt w:val="decimal"/>
      <w:pStyle w:val="102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23EC51B2"/>
    <w:multiLevelType w:val="multilevel"/>
    <w:tmpl w:val="23EC51B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5">
    <w:nsid w:val="3AA46647"/>
    <w:multiLevelType w:val="multilevel"/>
    <w:tmpl w:val="3AA46647"/>
    <w:lvl w:ilvl="0" w:tentative="0">
      <w:start w:val="1"/>
      <w:numFmt w:val="decimal"/>
      <w:pStyle w:val="1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A55685D"/>
    <w:multiLevelType w:val="singleLevel"/>
    <w:tmpl w:val="4A55685D"/>
    <w:lvl w:ilvl="0" w:tentative="0">
      <w:start w:val="1"/>
      <w:numFmt w:val="bullet"/>
      <w:pStyle w:val="9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7">
    <w:nsid w:val="52CA544A"/>
    <w:multiLevelType w:val="singleLevel"/>
    <w:tmpl w:val="52CA544A"/>
    <w:lvl w:ilvl="0" w:tentative="0">
      <w:start w:val="1"/>
      <w:numFmt w:val="decimal"/>
      <w:pStyle w:val="1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8">
    <w:nsid w:val="61A52F94"/>
    <w:multiLevelType w:val="multilevel"/>
    <w:tmpl w:val="61A52F9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9">
    <w:nsid w:val="6E760327"/>
    <w:multiLevelType w:val="multilevel"/>
    <w:tmpl w:val="6E760327"/>
    <w:lvl w:ilvl="0" w:tentative="0">
      <w:start w:val="1"/>
      <w:numFmt w:val="decimal"/>
      <w:pStyle w:val="95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12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9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1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10"/>
  </w:num>
  <w:num w:numId="10">
    <w:abstractNumId w:val="8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720"/>
  <w:hyphenationZone w:val="425"/>
  <w:drawingGridHorizontalSpacing w:val="100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4A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568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700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B23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4F6F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098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E4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96F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4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352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9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493B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B7EEF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641B"/>
    <w:rsid w:val="023D68E9"/>
    <w:rsid w:val="024D11F3"/>
    <w:rsid w:val="025B6E07"/>
    <w:rsid w:val="025F34FA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C1004"/>
    <w:rsid w:val="02C20A5F"/>
    <w:rsid w:val="02D8254A"/>
    <w:rsid w:val="02DC278D"/>
    <w:rsid w:val="030C5E59"/>
    <w:rsid w:val="03127134"/>
    <w:rsid w:val="03131BEB"/>
    <w:rsid w:val="03180265"/>
    <w:rsid w:val="031923E9"/>
    <w:rsid w:val="032316D8"/>
    <w:rsid w:val="03244425"/>
    <w:rsid w:val="03335414"/>
    <w:rsid w:val="03380EE2"/>
    <w:rsid w:val="034800C3"/>
    <w:rsid w:val="03763069"/>
    <w:rsid w:val="037D0817"/>
    <w:rsid w:val="03876C33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3F743E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67EA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6C70F7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5FE1C62"/>
    <w:rsid w:val="060D5AA5"/>
    <w:rsid w:val="0614053E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0C6A"/>
    <w:rsid w:val="0735734E"/>
    <w:rsid w:val="07377DDC"/>
    <w:rsid w:val="07386D83"/>
    <w:rsid w:val="073B19BC"/>
    <w:rsid w:val="074A4044"/>
    <w:rsid w:val="074B35A5"/>
    <w:rsid w:val="07826DCD"/>
    <w:rsid w:val="07871DCC"/>
    <w:rsid w:val="078B07F9"/>
    <w:rsid w:val="078E4F4B"/>
    <w:rsid w:val="07944B29"/>
    <w:rsid w:val="079F3045"/>
    <w:rsid w:val="07AC7E7C"/>
    <w:rsid w:val="07B34910"/>
    <w:rsid w:val="07B44DE2"/>
    <w:rsid w:val="07BB7897"/>
    <w:rsid w:val="07C76AEB"/>
    <w:rsid w:val="07CE47C1"/>
    <w:rsid w:val="07D62B24"/>
    <w:rsid w:val="08116271"/>
    <w:rsid w:val="08337F1B"/>
    <w:rsid w:val="083B21D6"/>
    <w:rsid w:val="083B6ED0"/>
    <w:rsid w:val="08465770"/>
    <w:rsid w:val="084745D0"/>
    <w:rsid w:val="08476D2A"/>
    <w:rsid w:val="084A42E3"/>
    <w:rsid w:val="084D185F"/>
    <w:rsid w:val="084E1A17"/>
    <w:rsid w:val="085B1808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39E0"/>
    <w:rsid w:val="08C447CA"/>
    <w:rsid w:val="08CE2E9E"/>
    <w:rsid w:val="08E279FE"/>
    <w:rsid w:val="08E539A8"/>
    <w:rsid w:val="08FF3E43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2D4F50"/>
    <w:rsid w:val="0A350A2E"/>
    <w:rsid w:val="0A44449B"/>
    <w:rsid w:val="0A613380"/>
    <w:rsid w:val="0A68565C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9178D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6D4583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A4514"/>
    <w:rsid w:val="0CED5790"/>
    <w:rsid w:val="0CF520B2"/>
    <w:rsid w:val="0D02400E"/>
    <w:rsid w:val="0D0C6566"/>
    <w:rsid w:val="0D1536F1"/>
    <w:rsid w:val="0D1E5FB2"/>
    <w:rsid w:val="0D204BC7"/>
    <w:rsid w:val="0D232014"/>
    <w:rsid w:val="0D276A0D"/>
    <w:rsid w:val="0D2B3E5D"/>
    <w:rsid w:val="0D3F76DE"/>
    <w:rsid w:val="0D4C56D2"/>
    <w:rsid w:val="0D727EA8"/>
    <w:rsid w:val="0D834A5C"/>
    <w:rsid w:val="0D893EB2"/>
    <w:rsid w:val="0D9C16DD"/>
    <w:rsid w:val="0DBF562F"/>
    <w:rsid w:val="0DD400A1"/>
    <w:rsid w:val="0DD520DE"/>
    <w:rsid w:val="0DD823C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4F1CE0"/>
    <w:rsid w:val="0E4F5252"/>
    <w:rsid w:val="0E572C3E"/>
    <w:rsid w:val="0E5B69B7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8339D"/>
    <w:rsid w:val="0F2D4EDE"/>
    <w:rsid w:val="0F340285"/>
    <w:rsid w:val="0F425F0E"/>
    <w:rsid w:val="0F443DD6"/>
    <w:rsid w:val="0F4A313E"/>
    <w:rsid w:val="0F4F75B4"/>
    <w:rsid w:val="0F502B54"/>
    <w:rsid w:val="0F6013A0"/>
    <w:rsid w:val="0F8D0B4E"/>
    <w:rsid w:val="0F8F102F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32F67"/>
    <w:rsid w:val="10D54519"/>
    <w:rsid w:val="10DC0B31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2A3608"/>
    <w:rsid w:val="12337389"/>
    <w:rsid w:val="12371DF9"/>
    <w:rsid w:val="124D1B03"/>
    <w:rsid w:val="12504C31"/>
    <w:rsid w:val="12506770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400045"/>
    <w:rsid w:val="13600C40"/>
    <w:rsid w:val="136F49A1"/>
    <w:rsid w:val="13783516"/>
    <w:rsid w:val="137C2658"/>
    <w:rsid w:val="137E142A"/>
    <w:rsid w:val="13824BD3"/>
    <w:rsid w:val="138A039A"/>
    <w:rsid w:val="139532E4"/>
    <w:rsid w:val="13A30FC3"/>
    <w:rsid w:val="13A31406"/>
    <w:rsid w:val="13A90461"/>
    <w:rsid w:val="13BC2D7D"/>
    <w:rsid w:val="13BF1D88"/>
    <w:rsid w:val="13DE3682"/>
    <w:rsid w:val="13EB3632"/>
    <w:rsid w:val="13ED26CD"/>
    <w:rsid w:val="14237882"/>
    <w:rsid w:val="142C63EB"/>
    <w:rsid w:val="143E1552"/>
    <w:rsid w:val="143F6AFF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C511F"/>
    <w:rsid w:val="154D51FF"/>
    <w:rsid w:val="1555109B"/>
    <w:rsid w:val="155B3F7C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5243D6"/>
    <w:rsid w:val="1654399A"/>
    <w:rsid w:val="166415C4"/>
    <w:rsid w:val="1670292F"/>
    <w:rsid w:val="16876F47"/>
    <w:rsid w:val="16893317"/>
    <w:rsid w:val="169979F2"/>
    <w:rsid w:val="16A8222F"/>
    <w:rsid w:val="16B70F95"/>
    <w:rsid w:val="16DE10C7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826DA"/>
    <w:rsid w:val="185A5120"/>
    <w:rsid w:val="18611EA0"/>
    <w:rsid w:val="18653077"/>
    <w:rsid w:val="186E2B2D"/>
    <w:rsid w:val="187619E6"/>
    <w:rsid w:val="187E5D26"/>
    <w:rsid w:val="1894179F"/>
    <w:rsid w:val="18A116BD"/>
    <w:rsid w:val="18AD2830"/>
    <w:rsid w:val="18AD518E"/>
    <w:rsid w:val="18DF2356"/>
    <w:rsid w:val="18F6629D"/>
    <w:rsid w:val="1939490B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A4F94"/>
    <w:rsid w:val="1A5363F7"/>
    <w:rsid w:val="1A65142D"/>
    <w:rsid w:val="1A6B3616"/>
    <w:rsid w:val="1A872A12"/>
    <w:rsid w:val="1A8D28D6"/>
    <w:rsid w:val="1A8E00E9"/>
    <w:rsid w:val="1A9226AE"/>
    <w:rsid w:val="1AC176FB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58743C"/>
    <w:rsid w:val="1B8158FF"/>
    <w:rsid w:val="1B82787B"/>
    <w:rsid w:val="1B8357F2"/>
    <w:rsid w:val="1B8D4B2E"/>
    <w:rsid w:val="1B903EE2"/>
    <w:rsid w:val="1B9D296D"/>
    <w:rsid w:val="1BA0668A"/>
    <w:rsid w:val="1BBC1049"/>
    <w:rsid w:val="1BC67D9A"/>
    <w:rsid w:val="1BDA50E3"/>
    <w:rsid w:val="1BE2301B"/>
    <w:rsid w:val="1BF867C3"/>
    <w:rsid w:val="1C04440C"/>
    <w:rsid w:val="1C0556D6"/>
    <w:rsid w:val="1C0B74FC"/>
    <w:rsid w:val="1C101482"/>
    <w:rsid w:val="1C18603C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AD5708"/>
    <w:rsid w:val="1DB65020"/>
    <w:rsid w:val="1DC41BB0"/>
    <w:rsid w:val="1DC62C25"/>
    <w:rsid w:val="1DC65AF6"/>
    <w:rsid w:val="1E042D27"/>
    <w:rsid w:val="1E0C16EA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D95CB7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3B75FF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20006656"/>
    <w:rsid w:val="20050513"/>
    <w:rsid w:val="20084F74"/>
    <w:rsid w:val="200C6F0C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A32FE"/>
    <w:rsid w:val="20F17C8F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A011B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E4404"/>
    <w:rsid w:val="224B437A"/>
    <w:rsid w:val="224D0D69"/>
    <w:rsid w:val="2290426C"/>
    <w:rsid w:val="229677D4"/>
    <w:rsid w:val="22A91330"/>
    <w:rsid w:val="22B34785"/>
    <w:rsid w:val="22B45A21"/>
    <w:rsid w:val="22CC6520"/>
    <w:rsid w:val="22D04F77"/>
    <w:rsid w:val="22F149E7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7F63"/>
    <w:rsid w:val="238718C4"/>
    <w:rsid w:val="238C26AF"/>
    <w:rsid w:val="23A60BED"/>
    <w:rsid w:val="23AF20CF"/>
    <w:rsid w:val="23BE0C34"/>
    <w:rsid w:val="23EE567F"/>
    <w:rsid w:val="23FE39DA"/>
    <w:rsid w:val="241B4EFA"/>
    <w:rsid w:val="2422724B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204D85"/>
    <w:rsid w:val="252F41B5"/>
    <w:rsid w:val="253E482D"/>
    <w:rsid w:val="25415276"/>
    <w:rsid w:val="25442C2C"/>
    <w:rsid w:val="25443395"/>
    <w:rsid w:val="25480684"/>
    <w:rsid w:val="254B11E9"/>
    <w:rsid w:val="255514A1"/>
    <w:rsid w:val="255B6449"/>
    <w:rsid w:val="258007D6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1E7246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771E7"/>
    <w:rsid w:val="26E66172"/>
    <w:rsid w:val="26ED2E1C"/>
    <w:rsid w:val="26EF6891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B947C2"/>
    <w:rsid w:val="27DB36C2"/>
    <w:rsid w:val="27DB4429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570F2"/>
    <w:rsid w:val="28A742C0"/>
    <w:rsid w:val="28B16BAC"/>
    <w:rsid w:val="28B222C6"/>
    <w:rsid w:val="28BC08CE"/>
    <w:rsid w:val="28CF2CCD"/>
    <w:rsid w:val="28D334D0"/>
    <w:rsid w:val="28D701CA"/>
    <w:rsid w:val="28E43A9A"/>
    <w:rsid w:val="28EB5815"/>
    <w:rsid w:val="28F905BC"/>
    <w:rsid w:val="28FA5BE1"/>
    <w:rsid w:val="290B3ADD"/>
    <w:rsid w:val="29242AD0"/>
    <w:rsid w:val="29251C92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533456"/>
    <w:rsid w:val="2D5809C0"/>
    <w:rsid w:val="2D5E371E"/>
    <w:rsid w:val="2D623805"/>
    <w:rsid w:val="2D6D3CA2"/>
    <w:rsid w:val="2D781D43"/>
    <w:rsid w:val="2D7D7121"/>
    <w:rsid w:val="2D854A69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F51385"/>
    <w:rsid w:val="2FFE0E4A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97C22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E159BF"/>
    <w:rsid w:val="31E31A45"/>
    <w:rsid w:val="31EE1B5E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9F7538"/>
    <w:rsid w:val="32AC064F"/>
    <w:rsid w:val="32C4026A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2E4E7C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14D3D"/>
    <w:rsid w:val="33D2644C"/>
    <w:rsid w:val="33D81A4C"/>
    <w:rsid w:val="33DF4467"/>
    <w:rsid w:val="33FC5728"/>
    <w:rsid w:val="340636B9"/>
    <w:rsid w:val="34086B9E"/>
    <w:rsid w:val="3424694F"/>
    <w:rsid w:val="342F6D32"/>
    <w:rsid w:val="34516FC2"/>
    <w:rsid w:val="34555684"/>
    <w:rsid w:val="34660FB4"/>
    <w:rsid w:val="346F196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87059F"/>
    <w:rsid w:val="38880168"/>
    <w:rsid w:val="388F0D9F"/>
    <w:rsid w:val="38922097"/>
    <w:rsid w:val="38AD5E9A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563559"/>
    <w:rsid w:val="39570EDE"/>
    <w:rsid w:val="395B167E"/>
    <w:rsid w:val="39615265"/>
    <w:rsid w:val="39656815"/>
    <w:rsid w:val="397D6F73"/>
    <w:rsid w:val="39802ECC"/>
    <w:rsid w:val="39865E81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5F5090"/>
    <w:rsid w:val="3B6B49ED"/>
    <w:rsid w:val="3B753374"/>
    <w:rsid w:val="3B762EC6"/>
    <w:rsid w:val="3B791F2E"/>
    <w:rsid w:val="3B7B29BE"/>
    <w:rsid w:val="3B7D3926"/>
    <w:rsid w:val="3B85775D"/>
    <w:rsid w:val="3B8B309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924D76"/>
    <w:rsid w:val="3D936176"/>
    <w:rsid w:val="3DA605F1"/>
    <w:rsid w:val="3DB624D6"/>
    <w:rsid w:val="3DC96A91"/>
    <w:rsid w:val="3DCE4212"/>
    <w:rsid w:val="3DE50A71"/>
    <w:rsid w:val="3DF15DDC"/>
    <w:rsid w:val="3DF43ED5"/>
    <w:rsid w:val="3E0B107A"/>
    <w:rsid w:val="3E1D3429"/>
    <w:rsid w:val="3E297137"/>
    <w:rsid w:val="3E4B5902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EED1BB7"/>
    <w:rsid w:val="3F0359E1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EB0F5D"/>
    <w:rsid w:val="3FED37A2"/>
    <w:rsid w:val="3FF76865"/>
    <w:rsid w:val="400356CF"/>
    <w:rsid w:val="40097753"/>
    <w:rsid w:val="400A538D"/>
    <w:rsid w:val="401041CC"/>
    <w:rsid w:val="401C0644"/>
    <w:rsid w:val="402C3443"/>
    <w:rsid w:val="40385090"/>
    <w:rsid w:val="403D4075"/>
    <w:rsid w:val="404E052F"/>
    <w:rsid w:val="40581609"/>
    <w:rsid w:val="4062552B"/>
    <w:rsid w:val="40762F0A"/>
    <w:rsid w:val="40765E8A"/>
    <w:rsid w:val="407E641B"/>
    <w:rsid w:val="40825976"/>
    <w:rsid w:val="4084632A"/>
    <w:rsid w:val="40D00C0D"/>
    <w:rsid w:val="40D14D78"/>
    <w:rsid w:val="40E111B6"/>
    <w:rsid w:val="40EC441D"/>
    <w:rsid w:val="40F044C9"/>
    <w:rsid w:val="41180D6F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C5BCE"/>
    <w:rsid w:val="42605FC7"/>
    <w:rsid w:val="4267308C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2FC5131"/>
    <w:rsid w:val="4304205B"/>
    <w:rsid w:val="430E6D0F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8863EE"/>
    <w:rsid w:val="43A94C99"/>
    <w:rsid w:val="43AD047C"/>
    <w:rsid w:val="43B93CA1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290132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1786B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D477A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8FA3272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8D2BE3"/>
    <w:rsid w:val="49CA7E3C"/>
    <w:rsid w:val="49D9493E"/>
    <w:rsid w:val="49E05DCB"/>
    <w:rsid w:val="49F50CB4"/>
    <w:rsid w:val="4A0028F7"/>
    <w:rsid w:val="4A087489"/>
    <w:rsid w:val="4A2B1F5C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2B4F79"/>
    <w:rsid w:val="4C385A40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D00124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44774F"/>
    <w:rsid w:val="4D4B58A5"/>
    <w:rsid w:val="4D627203"/>
    <w:rsid w:val="4D66006E"/>
    <w:rsid w:val="4D6C3B9E"/>
    <w:rsid w:val="4D8674BE"/>
    <w:rsid w:val="4D8B066E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F2E3C"/>
    <w:rsid w:val="4E7A2E8A"/>
    <w:rsid w:val="4E9373C0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749B7"/>
    <w:rsid w:val="4F877895"/>
    <w:rsid w:val="4F882033"/>
    <w:rsid w:val="4F967CF0"/>
    <w:rsid w:val="4FB140AE"/>
    <w:rsid w:val="4FB74589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6B7450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98096B"/>
    <w:rsid w:val="52AF3F38"/>
    <w:rsid w:val="52B33948"/>
    <w:rsid w:val="52C93BBE"/>
    <w:rsid w:val="52D05D9C"/>
    <w:rsid w:val="52DF5A77"/>
    <w:rsid w:val="52E2402D"/>
    <w:rsid w:val="52F35FDC"/>
    <w:rsid w:val="530715FB"/>
    <w:rsid w:val="53297E57"/>
    <w:rsid w:val="533F38E7"/>
    <w:rsid w:val="53420089"/>
    <w:rsid w:val="534A319A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12EA2"/>
    <w:rsid w:val="54F54AD8"/>
    <w:rsid w:val="550875D8"/>
    <w:rsid w:val="550C5474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C50357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C3135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C0349D"/>
    <w:rsid w:val="58C94687"/>
    <w:rsid w:val="58DE49F6"/>
    <w:rsid w:val="58F7247A"/>
    <w:rsid w:val="590413BD"/>
    <w:rsid w:val="5919795C"/>
    <w:rsid w:val="59232537"/>
    <w:rsid w:val="59283A8F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BF1E08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D1505A"/>
    <w:rsid w:val="5BD92BA9"/>
    <w:rsid w:val="5BDD29C3"/>
    <w:rsid w:val="5BDE6F14"/>
    <w:rsid w:val="5C1202F0"/>
    <w:rsid w:val="5C15137F"/>
    <w:rsid w:val="5C17089D"/>
    <w:rsid w:val="5C18679F"/>
    <w:rsid w:val="5C1E0DBA"/>
    <w:rsid w:val="5C20023F"/>
    <w:rsid w:val="5C3768BF"/>
    <w:rsid w:val="5C4A6360"/>
    <w:rsid w:val="5C752E46"/>
    <w:rsid w:val="5C784ED3"/>
    <w:rsid w:val="5C7D4D78"/>
    <w:rsid w:val="5C8046F6"/>
    <w:rsid w:val="5C812DA3"/>
    <w:rsid w:val="5C81304B"/>
    <w:rsid w:val="5C851DC2"/>
    <w:rsid w:val="5C916F38"/>
    <w:rsid w:val="5C9A2E7A"/>
    <w:rsid w:val="5CA55250"/>
    <w:rsid w:val="5CB7487F"/>
    <w:rsid w:val="5CBA2E24"/>
    <w:rsid w:val="5CBE4851"/>
    <w:rsid w:val="5CBF7942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60610D"/>
    <w:rsid w:val="5D677934"/>
    <w:rsid w:val="5D701A55"/>
    <w:rsid w:val="5D747EB4"/>
    <w:rsid w:val="5D760E05"/>
    <w:rsid w:val="5D800E7C"/>
    <w:rsid w:val="5D862A93"/>
    <w:rsid w:val="5D867492"/>
    <w:rsid w:val="5D8F3E02"/>
    <w:rsid w:val="5D9126BE"/>
    <w:rsid w:val="5DAD66F9"/>
    <w:rsid w:val="5DAF334A"/>
    <w:rsid w:val="5DB40934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362EF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033C9"/>
    <w:rsid w:val="633C78BB"/>
    <w:rsid w:val="63425F59"/>
    <w:rsid w:val="63505013"/>
    <w:rsid w:val="6356637E"/>
    <w:rsid w:val="63567264"/>
    <w:rsid w:val="635B50A6"/>
    <w:rsid w:val="635F3E6C"/>
    <w:rsid w:val="638D42C0"/>
    <w:rsid w:val="63A855E8"/>
    <w:rsid w:val="63B0726B"/>
    <w:rsid w:val="63D0326A"/>
    <w:rsid w:val="63D37E25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4E2343"/>
    <w:rsid w:val="64541B32"/>
    <w:rsid w:val="645719A3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45AC8"/>
    <w:rsid w:val="64BD0DE2"/>
    <w:rsid w:val="64E333A8"/>
    <w:rsid w:val="64EA733A"/>
    <w:rsid w:val="64EB1253"/>
    <w:rsid w:val="650906B2"/>
    <w:rsid w:val="650E29E3"/>
    <w:rsid w:val="651725E2"/>
    <w:rsid w:val="651A6EDA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E50BB"/>
    <w:rsid w:val="65D10574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B1358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3C27"/>
    <w:rsid w:val="67204BFD"/>
    <w:rsid w:val="67292B3C"/>
    <w:rsid w:val="672F002F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F666D5"/>
    <w:rsid w:val="6B11594C"/>
    <w:rsid w:val="6B1273B5"/>
    <w:rsid w:val="6B2E7032"/>
    <w:rsid w:val="6B3413B3"/>
    <w:rsid w:val="6B537D47"/>
    <w:rsid w:val="6B5E791D"/>
    <w:rsid w:val="6B60464B"/>
    <w:rsid w:val="6B681EB2"/>
    <w:rsid w:val="6B696FA9"/>
    <w:rsid w:val="6B6E47D9"/>
    <w:rsid w:val="6B741DC4"/>
    <w:rsid w:val="6B7C7DA8"/>
    <w:rsid w:val="6B80359D"/>
    <w:rsid w:val="6B8A1407"/>
    <w:rsid w:val="6BA63872"/>
    <w:rsid w:val="6BC14A4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734D62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2076F"/>
    <w:rsid w:val="6CD6702A"/>
    <w:rsid w:val="6CDA72FE"/>
    <w:rsid w:val="6CE756D0"/>
    <w:rsid w:val="6CF90632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65B47"/>
    <w:rsid w:val="723D75E3"/>
    <w:rsid w:val="723D7D7D"/>
    <w:rsid w:val="724A5D81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CB39F2"/>
    <w:rsid w:val="72DF2D54"/>
    <w:rsid w:val="72F36F06"/>
    <w:rsid w:val="72F42BA6"/>
    <w:rsid w:val="72F96FC3"/>
    <w:rsid w:val="72FA494D"/>
    <w:rsid w:val="730243B3"/>
    <w:rsid w:val="7321765C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7314"/>
    <w:rsid w:val="74F308E7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D665B"/>
    <w:rsid w:val="76381FAB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91A3D"/>
    <w:rsid w:val="78376779"/>
    <w:rsid w:val="7840644C"/>
    <w:rsid w:val="7853086C"/>
    <w:rsid w:val="7853146D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2546E2"/>
    <w:rsid w:val="79254E6A"/>
    <w:rsid w:val="79292660"/>
    <w:rsid w:val="79424D71"/>
    <w:rsid w:val="794A4ACB"/>
    <w:rsid w:val="794E59D6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3BF4"/>
    <w:rsid w:val="7A827221"/>
    <w:rsid w:val="7A9149C4"/>
    <w:rsid w:val="7A930150"/>
    <w:rsid w:val="7A972572"/>
    <w:rsid w:val="7AA34AEB"/>
    <w:rsid w:val="7ADE6CE8"/>
    <w:rsid w:val="7AEB63DD"/>
    <w:rsid w:val="7B0B6E35"/>
    <w:rsid w:val="7B17071C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DE3048"/>
    <w:rsid w:val="7BE85532"/>
    <w:rsid w:val="7BED1AFB"/>
    <w:rsid w:val="7BF521EB"/>
    <w:rsid w:val="7BF65A76"/>
    <w:rsid w:val="7C090308"/>
    <w:rsid w:val="7C1526D4"/>
    <w:rsid w:val="7C4E3853"/>
    <w:rsid w:val="7C521E57"/>
    <w:rsid w:val="7C563743"/>
    <w:rsid w:val="7C5B29CF"/>
    <w:rsid w:val="7C660CD2"/>
    <w:rsid w:val="7C6D5ED6"/>
    <w:rsid w:val="7C7F0437"/>
    <w:rsid w:val="7C875361"/>
    <w:rsid w:val="7C975457"/>
    <w:rsid w:val="7C9E7D96"/>
    <w:rsid w:val="7CA2276B"/>
    <w:rsid w:val="7CB67DC0"/>
    <w:rsid w:val="7CBD1EC8"/>
    <w:rsid w:val="7CD02CFF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135DA3"/>
    <w:rsid w:val="7E175904"/>
    <w:rsid w:val="7E2D3630"/>
    <w:rsid w:val="7E2F2179"/>
    <w:rsid w:val="7E314AA9"/>
    <w:rsid w:val="7E3225E2"/>
    <w:rsid w:val="7E352319"/>
    <w:rsid w:val="7E564D83"/>
    <w:rsid w:val="7E691AAA"/>
    <w:rsid w:val="7E755EAD"/>
    <w:rsid w:val="7E784DF4"/>
    <w:rsid w:val="7E7E54AA"/>
    <w:rsid w:val="7E8C5D3C"/>
    <w:rsid w:val="7EA51811"/>
    <w:rsid w:val="7EA521AD"/>
    <w:rsid w:val="7EAC31E5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9148D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65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4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56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qFormat/>
    <w:uiPriority w:val="0"/>
    <w:pPr>
      <w:jc w:val="center"/>
    </w:pPr>
    <w:rPr>
      <w:i/>
    </w:rPr>
  </w:style>
  <w:style w:type="paragraph" w:styleId="19">
    <w:name w:val="header"/>
    <w:link w:val="45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0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yperlink"/>
    <w:qFormat/>
    <w:uiPriority w:val="99"/>
    <w:rPr>
      <w:color w:val="0000FF"/>
      <w:u w:val="single"/>
    </w:rPr>
  </w:style>
  <w:style w:type="character" w:styleId="34">
    <w:name w:val="annotation reference"/>
    <w:semiHidden/>
    <w:qFormat/>
    <w:uiPriority w:val="0"/>
    <w:rPr>
      <w:sz w:val="21"/>
      <w:szCs w:val="21"/>
    </w:rPr>
  </w:style>
  <w:style w:type="character" w:customStyle="1" w:styleId="35">
    <w:name w:val="PL Char"/>
    <w:link w:val="36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36">
    <w:name w:val="PL"/>
    <w:link w:val="3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37">
    <w:name w:val="Doc-text2 Char"/>
    <w:link w:val="38"/>
    <w:qFormat/>
    <w:uiPriority w:val="0"/>
    <w:rPr>
      <w:rFonts w:ascii="Arial" w:hAnsi="Arial"/>
      <w:szCs w:val="24"/>
      <w:lang w:val="en-GB" w:eastAsia="en-GB"/>
    </w:rPr>
  </w:style>
  <w:style w:type="paragraph" w:customStyle="1" w:styleId="38">
    <w:name w:val="Doc-text2"/>
    <w:basedOn w:val="1"/>
    <w:link w:val="3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9">
    <w:name w:val="B4 Char"/>
    <w:link w:val="40"/>
    <w:qFormat/>
    <w:uiPriority w:val="0"/>
    <w:rPr>
      <w:rFonts w:eastAsia="宋体"/>
      <w:lang w:val="en-GB" w:eastAsia="en-US" w:bidi="ar-SA"/>
    </w:rPr>
  </w:style>
  <w:style w:type="paragraph" w:customStyle="1" w:styleId="40">
    <w:name w:val="B4"/>
    <w:basedOn w:val="22"/>
    <w:link w:val="39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1">
    <w:name w:val="TAL Char Char Char"/>
    <w:link w:val="42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2">
    <w:name w:val="TAL Char Char"/>
    <w:basedOn w:val="1"/>
    <w:link w:val="4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3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45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46">
    <w:name w:val="TAH Car"/>
    <w:link w:val="47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47">
    <w:name w:val="TAH"/>
    <w:basedOn w:val="48"/>
    <w:link w:val="46"/>
    <w:qFormat/>
    <w:uiPriority w:val="0"/>
    <w:rPr>
      <w:b/>
    </w:rPr>
  </w:style>
  <w:style w:type="paragraph" w:customStyle="1" w:styleId="48">
    <w:name w:val="TAC"/>
    <w:basedOn w:val="49"/>
    <w:link w:val="64"/>
    <w:qFormat/>
    <w:uiPriority w:val="0"/>
    <w:pPr>
      <w:jc w:val="center"/>
    </w:pPr>
  </w:style>
  <w:style w:type="paragraph" w:customStyle="1" w:styleId="49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0">
    <w:name w:val="B1 Char1"/>
    <w:link w:val="51"/>
    <w:qFormat/>
    <w:uiPriority w:val="0"/>
    <w:rPr>
      <w:rFonts w:eastAsia="宋体"/>
      <w:lang w:val="en-GB" w:eastAsia="en-US"/>
    </w:rPr>
  </w:style>
  <w:style w:type="paragraph" w:customStyle="1" w:styleId="51">
    <w:name w:val="B1"/>
    <w:basedOn w:val="20"/>
    <w:link w:val="50"/>
    <w:qFormat/>
    <w:uiPriority w:val="0"/>
    <w:pPr>
      <w:ind w:left="568" w:hanging="284"/>
    </w:pPr>
    <w:rPr>
      <w:rFonts w:eastAsia="宋体"/>
    </w:rPr>
  </w:style>
  <w:style w:type="character" w:customStyle="1" w:styleId="52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3">
    <w:name w:val="Comments"/>
    <w:qFormat/>
    <w:uiPriority w:val="0"/>
    <w:rPr>
      <w:i/>
      <w:iCs/>
      <w:sz w:val="16"/>
    </w:rPr>
  </w:style>
  <w:style w:type="character" w:customStyle="1" w:styleId="54">
    <w:name w:val="Caption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55">
    <w:name w:val="highlight"/>
    <w:basedOn w:val="28"/>
    <w:qFormat/>
    <w:uiPriority w:val="0"/>
  </w:style>
  <w:style w:type="character" w:customStyle="1" w:styleId="56">
    <w:name w:val="Comment Text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57">
    <w:name w:val="B2 Char"/>
    <w:link w:val="58"/>
    <w:qFormat/>
    <w:uiPriority w:val="0"/>
    <w:rPr>
      <w:rFonts w:eastAsia="宋体"/>
      <w:lang w:val="en-GB" w:eastAsia="en-US" w:bidi="ar-SA"/>
    </w:rPr>
  </w:style>
  <w:style w:type="paragraph" w:customStyle="1" w:styleId="58">
    <w:name w:val="B2"/>
    <w:basedOn w:val="16"/>
    <w:link w:val="57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59">
    <w:name w:val="List Paragraph Char"/>
    <w:link w:val="60"/>
    <w:qFormat/>
    <w:uiPriority w:val="34"/>
    <w:rPr>
      <w:rFonts w:eastAsia="Times New Roman"/>
      <w:lang w:val="en-GB" w:eastAsia="en-US"/>
    </w:rPr>
  </w:style>
  <w:style w:type="paragraph" w:customStyle="1" w:styleId="60">
    <w:name w:val="List Paragraph1"/>
    <w:basedOn w:val="1"/>
    <w:link w:val="59"/>
    <w:qFormat/>
    <w:uiPriority w:val="34"/>
    <w:pPr>
      <w:ind w:left="720"/>
      <w:contextualSpacing/>
    </w:pPr>
  </w:style>
  <w:style w:type="character" w:customStyle="1" w:styleId="61">
    <w:name w:val="short_text"/>
    <w:basedOn w:val="28"/>
    <w:qFormat/>
    <w:uiPriority w:val="0"/>
  </w:style>
  <w:style w:type="character" w:customStyle="1" w:styleId="62">
    <w:name w:val="B3 Char"/>
    <w:qFormat/>
    <w:uiPriority w:val="0"/>
    <w:rPr>
      <w:lang w:val="en-GB" w:eastAsia="ja-JP" w:bidi="ar-SA"/>
    </w:rPr>
  </w:style>
  <w:style w:type="character" w:customStyle="1" w:styleId="63">
    <w:name w:val="def"/>
    <w:basedOn w:val="28"/>
    <w:qFormat/>
    <w:uiPriority w:val="0"/>
  </w:style>
  <w:style w:type="character" w:customStyle="1" w:styleId="64">
    <w:name w:val="TAC Char"/>
    <w:link w:val="48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65">
    <w:name w:val="Heading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66">
    <w:name w:val="TAN Char"/>
    <w:link w:val="67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67">
    <w:name w:val="TAN"/>
    <w:basedOn w:val="49"/>
    <w:link w:val="66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68">
    <w:name w:val="TF Char"/>
    <w:link w:val="69"/>
    <w:qFormat/>
    <w:uiPriority w:val="0"/>
    <w:rPr>
      <w:rFonts w:ascii="Arial" w:hAnsi="Arial"/>
      <w:b/>
      <w:lang w:val="en-GB" w:eastAsia="en-US" w:bidi="ar-SA"/>
    </w:rPr>
  </w:style>
  <w:style w:type="paragraph" w:customStyle="1" w:styleId="69">
    <w:name w:val="TF"/>
    <w:basedOn w:val="1"/>
    <w:link w:val="68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0">
    <w:name w:val="NO Char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rFonts w:eastAsia="宋体"/>
    </w:rPr>
  </w:style>
  <w:style w:type="character" w:customStyle="1" w:styleId="72">
    <w:name w:val="Placeholder Text1"/>
    <w:semiHidden/>
    <w:qFormat/>
    <w:uiPriority w:val="99"/>
    <w:rPr>
      <w:color w:val="808080"/>
    </w:rPr>
  </w:style>
  <w:style w:type="character" w:customStyle="1" w:styleId="73">
    <w:name w:val="hps"/>
    <w:basedOn w:val="28"/>
    <w:qFormat/>
    <w:uiPriority w:val="0"/>
  </w:style>
  <w:style w:type="character" w:customStyle="1" w:styleId="74">
    <w:name w:val="TH Char"/>
    <w:link w:val="7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5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76">
    <w:name w:val="B1 (文字)"/>
    <w:qFormat/>
    <w:uiPriority w:val="0"/>
    <w:rPr>
      <w:lang w:val="en-GB" w:eastAsia="ja-JP" w:bidi="ar-SA"/>
    </w:rPr>
  </w:style>
  <w:style w:type="character" w:customStyle="1" w:styleId="77">
    <w:name w:val="TAL Car"/>
    <w:link w:val="49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78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79">
    <w:name w:val="B3 Char2"/>
    <w:link w:val="80"/>
    <w:qFormat/>
    <w:uiPriority w:val="0"/>
    <w:rPr>
      <w:rFonts w:eastAsia="宋体"/>
      <w:lang w:val="en-GB" w:eastAsia="en-US" w:bidi="ar-SA"/>
    </w:rPr>
  </w:style>
  <w:style w:type="paragraph" w:customStyle="1" w:styleId="80">
    <w:name w:val="B3"/>
    <w:basedOn w:val="11"/>
    <w:link w:val="79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1">
    <w:name w:val="Editor's Note Char"/>
    <w:link w:val="82"/>
    <w:qFormat/>
    <w:uiPriority w:val="0"/>
    <w:rPr>
      <w:color w:val="FF0000"/>
      <w:lang w:val="en-GB" w:eastAsia="en-US" w:bidi="ar-SA"/>
    </w:rPr>
  </w:style>
  <w:style w:type="paragraph" w:customStyle="1" w:styleId="82">
    <w:name w:val="Editor's Note"/>
    <w:basedOn w:val="71"/>
    <w:link w:val="81"/>
    <w:qFormat/>
    <w:uiPriority w:val="0"/>
    <w:rPr>
      <w:rFonts w:eastAsia="MS Mincho"/>
      <w:color w:val="FF0000"/>
    </w:rPr>
  </w:style>
  <w:style w:type="character" w:customStyle="1" w:styleId="83">
    <w:name w:val="apple-converted-space"/>
    <w:basedOn w:val="28"/>
    <w:qFormat/>
    <w:uiPriority w:val="0"/>
  </w:style>
  <w:style w:type="paragraph" w:customStyle="1" w:styleId="84">
    <w:name w:val="NW"/>
    <w:basedOn w:val="71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8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87">
    <w:name w:val="列出段落1"/>
    <w:basedOn w:val="1"/>
    <w:qFormat/>
    <w:uiPriority w:val="34"/>
    <w:pPr>
      <w:ind w:left="720"/>
      <w:contextualSpacing/>
    </w:pPr>
  </w:style>
  <w:style w:type="paragraph" w:customStyle="1" w:styleId="88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0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1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2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3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95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96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97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98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2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3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4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0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06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7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8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0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0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2">
    <w:name w:val="Proposal"/>
    <w:basedOn w:val="1"/>
    <w:qFormat/>
    <w:uiPriority w:val="0"/>
    <w:pPr>
      <w:numPr>
        <w:ilvl w:val="0"/>
        <w:numId w:val="7"/>
      </w:numPr>
      <w:tabs>
        <w:tab w:val="left" w:pos="1701"/>
      </w:tabs>
      <w:overflowPunct w:val="0"/>
      <w:textAlignment w:val="baseline"/>
    </w:pPr>
    <w:rPr>
      <w:rFonts w:ascii="Arial" w:hAnsi="Arial" w:eastAsia="宋体"/>
      <w:b/>
      <w:bCs/>
      <w:lang w:eastAsia="zh-CN"/>
    </w:rPr>
  </w:style>
  <w:style w:type="paragraph" w:customStyle="1" w:styleId="11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4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1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6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17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18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9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0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1">
    <w:name w:val="列出段落2"/>
    <w:basedOn w:val="1"/>
    <w:qFormat/>
    <w:uiPriority w:val="99"/>
    <w:pPr>
      <w:ind w:left="720"/>
      <w:contextualSpacing/>
    </w:pPr>
  </w:style>
  <w:style w:type="paragraph" w:customStyle="1" w:styleId="122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3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4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125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26">
    <w:name w:val="Agreement"/>
    <w:basedOn w:val="1"/>
    <w:next w:val="38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27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28">
    <w:name w:val="B1 Zchn"/>
    <w:qFormat/>
    <w:uiPriority w:val="0"/>
    <w:rPr>
      <w:lang w:eastAsia="en-US"/>
    </w:rPr>
  </w:style>
  <w:style w:type="character" w:customStyle="1" w:styleId="129">
    <w:name w:val="colour"/>
    <w:basedOn w:val="28"/>
    <w:qFormat/>
    <w:uiPriority w:val="0"/>
  </w:style>
  <w:style w:type="paragraph" w:customStyle="1" w:styleId="130">
    <w:name w:val="listparagrap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4</Pages>
  <Words>1142</Words>
  <Characters>6514</Characters>
  <Lines>54</Lines>
  <Paragraphs>15</Paragraphs>
  <TotalTime>0</TotalTime>
  <ScaleCrop>false</ScaleCrop>
  <LinksUpToDate>false</LinksUpToDate>
  <CharactersWithSpaces>7641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2018-11-02T18:04:00Z</dcterms:created>
  <dc:creator>ZTE</dc:creator>
  <cp:lastModifiedBy>ZTE</cp:lastModifiedBy>
  <cp:lastPrinted>2018-02-16T23:29:00Z</cp:lastPrinted>
  <dcterms:modified xsi:type="dcterms:W3CDTF">2020-05-16T01:28:26Z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